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NOCLEHÁRNA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temy9042fv8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 dobu plnění povinností Správce vyplývajících z příslušných právních předpisů (zejména se jedná o 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některých případech zpracováváme též zvláštní kategorie osobních údajů dle čl. 9 odst. 2 písm. h) GDPR).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Vaše přezdívka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datum narození Vaše/Vašeho opatrovníka,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kontaktní adresa, telefon, e-mail Váš a jiných kontaktních osob/opatrovníka,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91zauu2sxg6e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vzdělání, povolání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případně další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bookmarkStart w:colFirst="0" w:colLast="0" w:name="_ptqragnjfipd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zdravotním stavu, o omezení svéprávnosti, trestné činnosti, o dluzích a exekucích, o národnostní a etnické příslušnosti (např. v případě diskriminace),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další informace předané v rámci přípravy a plnění individuálního plánu.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noclehárny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j69o6rckqdk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57pq2m1gk2b5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9a1yid2l91is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eumo4i943v1v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b8si9u90di9h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