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c5w0mbk9y78z"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SOCIÁLNĚ AKTIVIZAČNÍ SLUŽBY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sociálně aktivizační služby pro seniory a osoby se zdravotním postižením,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000000" w:rsidDel="00000000" w:rsidP="00000000" w:rsidRDefault="00000000" w:rsidRPr="00000000" w14:paraId="0000000C">
      <w:pPr>
        <w:spacing w:after="240" w:befor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0D">
      <w:pPr>
        <w:spacing w:after="240" w:befor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některých případech zpracováváme též zvláštní kategorie osobních údajů, a to dle čl. 9 odst. 2 písm. h) GDPR).</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mvduwgrreqlv" w:id="1"/>
      <w:bookmarkEnd w:id="1"/>
      <w:r w:rsidDel="00000000" w:rsidR="00000000" w:rsidRPr="00000000">
        <w:rPr>
          <w:rFonts w:ascii="Cambria" w:cs="Cambria" w:eastAsia="Cambria" w:hAnsi="Cambria"/>
          <w:sz w:val="24"/>
          <w:szCs w:val="24"/>
          <w:rtl w:val="0"/>
        </w:rPr>
        <w:t xml:space="preserve">Mezi osobní údaje základní kategorie patří zejména: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příjmení, titul </w:t>
      </w:r>
      <w:r w:rsidDel="00000000" w:rsidR="00000000" w:rsidRPr="00000000">
        <w:rPr>
          <w:rFonts w:ascii="Cambria" w:cs="Cambria" w:eastAsia="Cambria" w:hAnsi="Cambria"/>
          <w:sz w:val="24"/>
          <w:szCs w:val="24"/>
          <w:rtl w:val="0"/>
        </w:rPr>
        <w:t xml:space="preserve">Vás</w:t>
      </w:r>
      <w:r w:rsidDel="00000000" w:rsidR="00000000" w:rsidRPr="00000000">
        <w:rPr>
          <w:rFonts w:ascii="Cambria" w:cs="Cambria" w:eastAsia="Cambria" w:hAnsi="Cambria"/>
          <w:sz w:val="24"/>
          <w:szCs w:val="24"/>
          <w:rtl w:val="0"/>
        </w:rPr>
        <w:t xml:space="preserve"> a jiných kontaktních osob /opatrovníka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 rodné číslo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Kontaktní adresa, telefon, e-mail, číslo datové schránky Vás a jiných kontaktních osob / opatrovníka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zdravotním stavu, zdravotním omezení</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Biometrické údaje - elektronický podpis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tlp0rxpbplwm" w:id="2"/>
      <w:bookmarkEnd w:id="2"/>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gyainvlyboed" w:id="3"/>
      <w:bookmarkEnd w:id="3"/>
      <w:r w:rsidDel="00000000" w:rsidR="00000000" w:rsidRPr="00000000">
        <w:rPr>
          <w:rFonts w:ascii="Cambria" w:cs="Cambria" w:eastAsia="Cambria" w:hAnsi="Cambria"/>
          <w:sz w:val="24"/>
          <w:szCs w:val="24"/>
          <w:rtl w:val="0"/>
        </w:rPr>
        <w:t xml:space="preserve">V průběhu uzavírání smlouvy pracuje s Vašimi osobními údaji pouze </w:t>
      </w:r>
      <w:r w:rsidDel="00000000" w:rsidR="00000000" w:rsidRPr="00000000">
        <w:rPr>
          <w:rFonts w:ascii="Cambria" w:cs="Cambria" w:eastAsia="Cambria" w:hAnsi="Cambria"/>
          <w:sz w:val="24"/>
          <w:szCs w:val="24"/>
          <w:highlight w:val="white"/>
          <w:rtl w:val="0"/>
        </w:rPr>
        <w:t xml:space="preserve">sociální pracovník,</w:t>
      </w:r>
      <w:r w:rsidDel="00000000" w:rsidR="00000000" w:rsidRPr="00000000">
        <w:rPr>
          <w:rFonts w:ascii="Cambria" w:cs="Cambria" w:eastAsia="Cambria" w:hAnsi="Cambria"/>
          <w:sz w:val="24"/>
          <w:szCs w:val="24"/>
          <w:rtl w:val="0"/>
        </w:rPr>
        <w:t xml:space="preserve"> vedoucí střediska.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zdravotní sestry a pracovníci v sociálních službách, v některých službách také fyzioterapeut.</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 Vašimi osobními údaji se bude pracovat po dobu poskytování sociální služby a následně v rámci archivace budou Vaše osobní údaje zpracované v souladu se Spisovým a skartačním řádem Slezské diakonie.</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44ryfou0fdmz" w:id="4"/>
    <w:bookmarkEnd w:id="4"/>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na základě Vašeho písemného souhlasu.</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 </w:t>
      </w:r>
      <w:hyperlink r:id="rId13">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b w:val="1"/>
          <w:sz w:val="24"/>
          <w:szCs w:val="24"/>
          <w:rtl w:val="0"/>
        </w:rPr>
        <w:t xml:space="preserv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7">
      <w:pPr>
        <w:jc w:val="both"/>
        <w:rPr>
          <w:rFonts w:ascii="Cambria" w:cs="Cambria" w:eastAsia="Cambria" w:hAnsi="Cambria"/>
          <w:sz w:val="24"/>
          <w:szCs w:val="24"/>
        </w:rPr>
      </w:pPr>
      <w:bookmarkStart w:colFirst="0" w:colLast="0" w:name="_37x4g1k48f6a" w:id="5"/>
      <w:bookmarkEnd w:id="5"/>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5">
        <w:r w:rsidDel="00000000" w:rsidR="00000000" w:rsidRPr="00000000">
          <w:rPr>
            <w:rFonts w:ascii="Cambria" w:cs="Cambria" w:eastAsia="Cambria" w:hAnsi="Cambria"/>
            <w:sz w:val="24"/>
            <w:szCs w:val="24"/>
            <w:u w:val="single"/>
            <w:rtl w:val="0"/>
          </w:rPr>
          <w:t xml:space="preserve">www.slezskadiakonie.cz/o-nas/informace-o-zpracovani</w:t>
        </w:r>
      </w:hyperlink>
      <w:hyperlink r:id="rId16">
        <w:r w:rsidDel="00000000" w:rsidR="00000000" w:rsidRPr="00000000">
          <w:rPr>
            <w:rFonts w:ascii="Cambria" w:cs="Cambria" w:eastAsia="Cambria" w:hAnsi="Cambria"/>
            <w:sz w:val="24"/>
            <w:szCs w:val="24"/>
            <w:rtl w:val="0"/>
          </w:rPr>
          <w:br w:type="textWrapping"/>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4E">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tabs>
        <w:tab w:val="center" w:leader="none" w:pos="4536"/>
        <w:tab w:val="right" w:leader="none" w:pos="9072"/>
      </w:tabs>
      <w:jc w:val="center"/>
      <w:rPr>
        <w:color w:val="000000"/>
        <w:sz w:val="24"/>
        <w:szCs w:val="24"/>
      </w:rPr>
    </w:pPr>
    <w:r w:rsidDel="00000000" w:rsidR="00000000" w:rsidRPr="00000000">
      <w:rPr>
        <w:rFonts w:ascii="Arial" w:cs="Arial" w:eastAsia="Arial" w:hAnsi="Arial"/>
        <w:b w:val="1"/>
        <w:color w:val="222222"/>
        <w:highlight w:val="white"/>
        <w:rtl w:val="0"/>
      </w:rPr>
      <w:t xml:space="preserve">V6 2025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bookmarkStart w:colFirst="0" w:colLast="0" w:name="_r5qi6rh3vzqw" w:id="6"/>
    <w:bookmarkEnd w:id="6"/>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