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114300" distR="114300">
            <wp:extent cx="3591560" cy="5524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</w:rPr>
      </w:pP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KANAAN Bohumín, nízkoprahové zařízení pro děti a mládež</w:t>
      </w:r>
    </w:p>
    <w:p w:rsidR="00207D18" w:rsidRDefault="00207D18" w:rsidP="00B351E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0070C0"/>
        </w:rPr>
        <w:t>STÍŽNOSTI NA POSKYTOVÁNÍ SOCIÁLNÍ SLUŽBY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Stížnosti a 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podněty </w:t>
      </w:r>
      <w:r>
        <w:rPr>
          <w:rFonts w:ascii="Arial" w:eastAsia="Arial" w:hAnsi="Arial" w:cs="Arial"/>
          <w:color w:val="000000"/>
          <w:sz w:val="21"/>
          <w:szCs w:val="21"/>
        </w:rPr>
        <w:t>jsou důležitým poselstvím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vyjadřujícím spokojenost či nespokojenost uživatelů s poskytovanou službou a o tom, zda služba odpovídá jejich potřebám.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Pro pracovníky služby je to důležitý zdroj informací o možnostech, jak službu zlepšit. Současně jde o určitý nástroj kontroly uživatele nad službou, která je mu poskytována. </w:t>
      </w: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Podání stížnosti či </w:t>
      </w:r>
      <w:r w:rsidR="00514B1C">
        <w:rPr>
          <w:rFonts w:ascii="Arial" w:eastAsia="Arial" w:hAnsi="Arial" w:cs="Arial"/>
          <w:color w:val="000000"/>
          <w:sz w:val="21"/>
          <w:szCs w:val="21"/>
        </w:rPr>
        <w:t>podnětu jsou jedním z klíčových práv uživatelů služby KANAAN Bohumín.</w:t>
      </w: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Veškeré stížnosti a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podněty uživatelů jsou pro pracovníky služby cenné, jsou vnímány jako nástroj ke zlepšení služby a zdokonalení metodických postupů. 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SPECIFIKA SLUŽBY KANAAN BOHUMÍN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Jelikož jsou služby poskytovány nezletilým uživatelům a převážná většina z nich je v mladším školním věku, dávají uživatelé zpětnou vazbu pracovníkům převážně ústní formou.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Uživatelé mají k dispozici v klubovně služby na magnetické tabuli vyvěšen obrázkový manuál pro podání </w:t>
      </w:r>
      <w:r w:rsidR="009D7E51">
        <w:rPr>
          <w:rFonts w:ascii="Arial" w:eastAsia="Arial" w:hAnsi="Arial" w:cs="Arial"/>
          <w:color w:val="000000"/>
          <w:sz w:val="21"/>
          <w:szCs w:val="21"/>
        </w:rPr>
        <w:t>stížností a podnětů.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Služba nedisponuje žádným oficiálním formulářem, do kterého by uživatelé svůj podnět, či stížnost zapisovali. Uživatelé si mohou zvolit písemnou formu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 pro svou stížnost či podnět, který mohou vhodit do schránky důvěry.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Rovněž je umožněno podávání stížností, podnětů a připomínek anonymně či zprostředkovaně.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VYSVĚTLENÍ POJMŮ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Stížnost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– vyjádření nespokojenosti k poskytované službě či pracovníkovi, který službu poskytuje. Uživatel přitom nemusí být schopen přesně definovat, na co si konkrétně stěžuje.</w:t>
      </w: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Podnět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– postřeh, poznámka, nápad ke zlepšení či změnu ve službě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Někdy je mezi podnětem a stížností nepatrný rozdíl. Toto je posuzováno pracovníky služby KANAAN Bohumín. Existují skutečnosti, kdy naše služba není povinna každý podnět realizovat – některé podněty mohou být v rozporu s posláním služby, s jejími základními činnostmi, nebo např. služba nemá finanční prostředky pro to, aby podnět mohla realizovat.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 ZPŮSOBY PODÁNÍ STÍŽNOSTÍ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Uživatelé služby mají možnost podat si stížnost následující formou:</w:t>
      </w:r>
    </w:p>
    <w:p w:rsidR="00207D18" w:rsidRDefault="00514B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osobně: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- přímo v prostorách služby na ulici Drátovenská 246, 735 51 Bohumín – Pudlov (v kanceláři sociálního pracovníka, v prostorách klubovny)</w:t>
      </w:r>
    </w:p>
    <w:p w:rsidR="00207D18" w:rsidRDefault="00514B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telefonicky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na kontaktní čísla jednotlivých pracovníků služby</w:t>
      </w:r>
    </w:p>
    <w:p w:rsidR="00207D18" w:rsidRDefault="00514B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>sociální pracovník: 733 625 556</w:t>
      </w:r>
    </w:p>
    <w:p w:rsidR="00207D18" w:rsidRDefault="00514B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vedoucí </w:t>
      </w:r>
      <w:proofErr w:type="gramStart"/>
      <w:r w:rsidR="00865BE3">
        <w:rPr>
          <w:rFonts w:ascii="Arial" w:eastAsia="Arial" w:hAnsi="Arial" w:cs="Arial"/>
          <w:color w:val="000000"/>
          <w:sz w:val="21"/>
          <w:szCs w:val="21"/>
        </w:rPr>
        <w:t>pracovník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  </w:t>
      </w:r>
      <w:r w:rsidR="00865BE3">
        <w:rPr>
          <w:rFonts w:ascii="Arial" w:eastAsia="Arial" w:hAnsi="Arial" w:cs="Arial"/>
          <w:color w:val="000000"/>
          <w:sz w:val="21"/>
          <w:szCs w:val="21"/>
        </w:rPr>
        <w:t>704</w:t>
      </w:r>
      <w:proofErr w:type="gramEnd"/>
      <w:r w:rsidR="00865BE3">
        <w:rPr>
          <w:rFonts w:ascii="Arial" w:eastAsia="Arial" w:hAnsi="Arial" w:cs="Arial"/>
          <w:color w:val="000000"/>
          <w:sz w:val="21"/>
          <w:szCs w:val="21"/>
        </w:rPr>
        <w:t> 675 762</w:t>
      </w:r>
    </w:p>
    <w:p w:rsidR="00207D18" w:rsidRDefault="00514B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proofErr w:type="gramStart"/>
      <w:r>
        <w:rPr>
          <w:rFonts w:ascii="Arial" w:eastAsia="Arial" w:hAnsi="Arial" w:cs="Arial"/>
          <w:b/>
          <w:color w:val="000000"/>
          <w:sz w:val="21"/>
          <w:szCs w:val="21"/>
        </w:rPr>
        <w:t>písemně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- volně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(na list papíru, elektronicky)</w:t>
      </w:r>
    </w:p>
    <w:p w:rsidR="00207D18" w:rsidRDefault="00514B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dopisem na adresu služby</w:t>
      </w:r>
    </w:p>
    <w:p w:rsidR="00207D18" w:rsidRDefault="00514B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emailem: </w:t>
      </w:r>
      <w:hyperlink r:id="rId9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kanaan@slezskadiakonie.cz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., </w:t>
      </w:r>
      <w:hyperlink r:id="rId10" w:history="1">
        <w:r w:rsidR="00865BE3" w:rsidRPr="00865BE3">
          <w:rPr>
            <w:rStyle w:val="Hypertextovodkaz"/>
            <w:rFonts w:ascii="Arial" w:hAnsi="Arial" w:cs="Arial"/>
            <w:sz w:val="20"/>
            <w:szCs w:val="20"/>
          </w:rPr>
          <w:t>vedouci.kanaan@slezskadiakonie.cz</w:t>
        </w:r>
      </w:hyperlink>
      <w:r w:rsidR="00865BE3">
        <w:t xml:space="preserve"> </w:t>
      </w:r>
    </w:p>
    <w:p w:rsidR="00207D18" w:rsidRDefault="00514B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do schránky </w:t>
      </w:r>
      <w:r w:rsidR="009D7E51">
        <w:rPr>
          <w:rFonts w:ascii="Arial" w:eastAsia="Arial" w:hAnsi="Arial" w:cs="Arial"/>
          <w:color w:val="000000"/>
          <w:sz w:val="21"/>
          <w:szCs w:val="21"/>
        </w:rPr>
        <w:t>důvěry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– označená krabice v klubovně služby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 / do poštovní schránky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zprostředkovaně svým zástupcem </w:t>
      </w:r>
      <w:r>
        <w:rPr>
          <w:rFonts w:ascii="Arial" w:eastAsia="Arial" w:hAnsi="Arial" w:cs="Arial"/>
          <w:color w:val="000000"/>
          <w:sz w:val="21"/>
          <w:szCs w:val="21"/>
        </w:rPr>
        <w:t>– osobní návštěvou, telefonicky, písemně.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Kontrola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 schránky důvěry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je prováděna 1x týdně a to vždy v pátek. Kontrola schránky je prováděna za přítomnosti dvou pracovníků a v případě nálezu jakéhokoliv podnětu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 či stížnosti</w:t>
      </w:r>
      <w:r>
        <w:rPr>
          <w:rFonts w:ascii="Arial" w:eastAsia="Arial" w:hAnsi="Arial" w:cs="Arial"/>
          <w:color w:val="000000"/>
          <w:sz w:val="21"/>
          <w:szCs w:val="21"/>
        </w:rPr>
        <w:t>, dojde k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 jeho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předání </w:t>
      </w:r>
      <w:r w:rsidR="00865BE3">
        <w:rPr>
          <w:rFonts w:ascii="Arial" w:eastAsia="Arial" w:hAnsi="Arial" w:cs="Arial"/>
          <w:color w:val="000000"/>
          <w:sz w:val="21"/>
          <w:szCs w:val="21"/>
        </w:rPr>
        <w:t>vedoucímu služby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4. OSOBA OPRÁVNĚNÁ K PŘIJETÍ STÍŽNOSTI, PODNĚTU </w:t>
      </w:r>
    </w:p>
    <w:p w:rsidR="00207D18" w:rsidRDefault="009D7E51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Stížnost či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podnět od uživatele je oprávněn přijmout </w:t>
      </w:r>
      <w:r w:rsidR="00514B1C">
        <w:rPr>
          <w:rFonts w:ascii="Arial" w:eastAsia="Arial" w:hAnsi="Arial" w:cs="Arial"/>
          <w:b/>
          <w:color w:val="000000"/>
          <w:sz w:val="21"/>
          <w:szCs w:val="21"/>
        </w:rPr>
        <w:t>kterýkoliv pracovník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služby.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a) osobně – ústní formou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b) telefonicky: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c) písemně: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7030A0"/>
          <w:sz w:val="21"/>
          <w:szCs w:val="21"/>
        </w:rPr>
      </w:pPr>
    </w:p>
    <w:p w:rsidR="009D7E51" w:rsidRDefault="00A039E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</w:t>
      </w:r>
      <w:r w:rsidR="009D7E51">
        <w:rPr>
          <w:rFonts w:ascii="Arial" w:eastAsia="Arial" w:hAnsi="Arial" w:cs="Arial"/>
          <w:color w:val="000000"/>
          <w:sz w:val="21"/>
          <w:szCs w:val="21"/>
        </w:rPr>
        <w:t xml:space="preserve">akmile pracovník služby obdrží od uživatele stížnost či podnět, provede o ní zápis do tabulky Evidence stížností a podnětů k příslušnému kalendářnímu roku (pro účely evidence) a zpracuje k podnětu či stížnosti samostatný zápis pod stejným evidenčním číslem jako je záznam v tabulce. Je-li podnět či stížnost v písemné formě, přiloží se originál do složky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Pracovník, který přijal stížnost</w:t>
      </w:r>
      <w:r w:rsidR="00A039E7">
        <w:rPr>
          <w:rFonts w:ascii="Arial" w:eastAsia="Arial" w:hAnsi="Arial" w:cs="Arial"/>
          <w:color w:val="000000"/>
          <w:sz w:val="21"/>
          <w:szCs w:val="21"/>
        </w:rPr>
        <w:t xml:space="preserve"> či podnět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od uživatele, ji bez prodlevy oznámí a v co nejkratším termínu odevzdá pracovníkovi následovně: pracovník v sociálních službách </w:t>
      </w:r>
      <w:r w:rsidR="00A039E7">
        <w:rPr>
          <w:rFonts w:ascii="Wingdings" w:eastAsia="Wingdings" w:hAnsi="Wingdings" w:cs="Wingdings"/>
          <w:color w:val="000000"/>
          <w:sz w:val="21"/>
          <w:szCs w:val="21"/>
        </w:rPr>
        <w:sym w:font="Symbol" w:char="F0AE"/>
      </w:r>
      <w:r w:rsidR="00A039E7">
        <w:rPr>
          <w:rFonts w:ascii="Wingdings" w:eastAsia="Wingdings" w:hAnsi="Wingdings" w:cs="Wingdings"/>
          <w:color w:val="00000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sociální pracovník </w:t>
      </w:r>
      <w:r w:rsidR="00A039E7">
        <w:rPr>
          <w:rFonts w:ascii="Wingdings" w:eastAsia="Wingdings" w:hAnsi="Wingdings" w:cs="Wingdings"/>
          <w:color w:val="000000"/>
          <w:sz w:val="21"/>
          <w:szCs w:val="21"/>
        </w:rPr>
        <w:sym w:font="Symbol" w:char="F0AE"/>
      </w:r>
      <w:r w:rsidR="00A039E7">
        <w:rPr>
          <w:rFonts w:ascii="Wingdings" w:eastAsia="Wingdings" w:hAnsi="Wingdings" w:cs="Wingdings"/>
          <w:color w:val="00000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vedoucí </w:t>
      </w:r>
      <w:r w:rsidR="00865BE3">
        <w:rPr>
          <w:rFonts w:ascii="Arial" w:eastAsia="Arial" w:hAnsi="Arial" w:cs="Arial"/>
          <w:color w:val="000000"/>
          <w:sz w:val="21"/>
          <w:szCs w:val="21"/>
        </w:rPr>
        <w:t>pracovník</w:t>
      </w:r>
    </w:p>
    <w:p w:rsidR="00207D18" w:rsidRDefault="00A039E7" w:rsidP="00944EB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Všechny stížnosti </w:t>
      </w:r>
      <w:r w:rsidR="00514B1C">
        <w:rPr>
          <w:rFonts w:ascii="Arial" w:eastAsia="Arial" w:hAnsi="Arial" w:cs="Arial"/>
          <w:color w:val="000000"/>
          <w:sz w:val="21"/>
          <w:szCs w:val="21"/>
        </w:rPr>
        <w:t>či podněty na službu KANAAN Bohumín jsou sociálním pracovníkem zaznamenány do tabulky Evidence stížností a podnětů, a to po jednotlivých letech.</w:t>
      </w:r>
    </w:p>
    <w:p w:rsidR="00944EB0" w:rsidRPr="00944EB0" w:rsidRDefault="00944EB0" w:rsidP="00944EB0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6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70C0"/>
          <w:sz w:val="21"/>
          <w:szCs w:val="21"/>
        </w:rPr>
      </w:pPr>
      <w:r w:rsidRPr="00944EB0">
        <w:rPr>
          <w:rFonts w:ascii="Arial" w:eastAsia="Arial" w:hAnsi="Arial" w:cs="Arial"/>
          <w:b/>
          <w:color w:val="0070C0"/>
          <w:sz w:val="21"/>
          <w:szCs w:val="21"/>
        </w:rPr>
        <w:t>LHŮTA PRO ŘEŠENÍ STÍŽNOSTI A INFORMOVÁNÍ STĚŽOVATELE</w:t>
      </w:r>
    </w:p>
    <w:p w:rsidR="00944EB0" w:rsidRPr="00013D85" w:rsidRDefault="00944EB0" w:rsidP="00944EB0">
      <w:pPr>
        <w:ind w:left="0" w:hanging="2"/>
        <w:jc w:val="both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Uživatel má právo podat stížnost ve lhůtě 1 roku ode dne, kdy nastala situace, která je předmětem stížnosti.</w:t>
      </w:r>
    </w:p>
    <w:p w:rsidR="00944EB0" w:rsidRPr="00944EB0" w:rsidRDefault="00944EB0" w:rsidP="00944EB0">
      <w:pPr>
        <w:ind w:left="0" w:hanging="2"/>
        <w:jc w:val="both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Lhůta pro vyřízení stížnosti </w:t>
      </w:r>
      <w:r w:rsidRPr="00013D85">
        <w:rPr>
          <w:rFonts w:ascii="Arial" w:hAnsi="Arial" w:cs="Arial"/>
          <w:b/>
          <w:sz w:val="21"/>
          <w:szCs w:val="21"/>
        </w:rPr>
        <w:t>je 30 kalendářních dnů</w:t>
      </w:r>
      <w:r w:rsidRPr="00013D85">
        <w:rPr>
          <w:rFonts w:ascii="Arial" w:hAnsi="Arial" w:cs="Arial"/>
          <w:sz w:val="21"/>
          <w:szCs w:val="21"/>
        </w:rPr>
        <w:t xml:space="preserve"> ode dne převzetí stížnosti pracovníkem služby. V odůvodněných případech má služba právo tuto lhůtu prodloužit o dalších 30 dní, je však povinna o tom uživatele písemně informovat.</w:t>
      </w:r>
    </w:p>
    <w:p w:rsidR="00207D18" w:rsidRDefault="00944EB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6</w:t>
      </w:r>
      <w:r w:rsidR="00514B1C">
        <w:rPr>
          <w:rFonts w:ascii="Arial" w:eastAsia="Arial" w:hAnsi="Arial" w:cs="Arial"/>
          <w:b/>
          <w:color w:val="0070C0"/>
          <w:sz w:val="21"/>
          <w:szCs w:val="21"/>
        </w:rPr>
        <w:t xml:space="preserve">. OSOBA OPRÁVNĚNÁ K VYŘÍZENÍ STÍŽNOSTI, PODNĚTU </w:t>
      </w:r>
    </w:p>
    <w:p w:rsidR="00207D18" w:rsidRDefault="00A039E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B05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 xml:space="preserve">či 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podnět</w:t>
      </w:r>
      <w:proofErr w:type="gramEnd"/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na službu KANAAN Bohumín nebo na pracovníka služby vyřizuje přímý nadřízený pracovníka, na kterého si uživatel stěžuje, tj. </w:t>
      </w:r>
      <w:r w:rsidR="00514B1C">
        <w:rPr>
          <w:rFonts w:ascii="Arial" w:eastAsia="Arial" w:hAnsi="Arial" w:cs="Arial"/>
          <w:b/>
          <w:color w:val="000000"/>
          <w:sz w:val="21"/>
          <w:szCs w:val="21"/>
        </w:rPr>
        <w:t xml:space="preserve">vedoucí </w:t>
      </w:r>
      <w:r w:rsidR="00865BE3">
        <w:rPr>
          <w:rFonts w:ascii="Arial" w:eastAsia="Arial" w:hAnsi="Arial" w:cs="Arial"/>
          <w:b/>
          <w:color w:val="000000"/>
          <w:sz w:val="21"/>
          <w:szCs w:val="21"/>
        </w:rPr>
        <w:t>pracovník</w:t>
      </w:r>
      <w:r w:rsidR="00514B1C"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  <w:r w:rsidR="00865BE3">
        <w:rPr>
          <w:rFonts w:ascii="Arial" w:eastAsia="Arial" w:hAnsi="Arial" w:cs="Arial"/>
          <w:color w:val="000000"/>
          <w:sz w:val="21"/>
          <w:szCs w:val="21"/>
        </w:rPr>
        <w:t>Mgr. Marie Buchtová</w:t>
      </w:r>
      <w:r w:rsidR="00514B1C">
        <w:rPr>
          <w:rFonts w:ascii="Arial" w:eastAsia="Arial" w:hAnsi="Arial" w:cs="Arial"/>
          <w:color w:val="000000"/>
          <w:sz w:val="21"/>
          <w:szCs w:val="21"/>
        </w:rPr>
        <w:t>, Adresa: Drátovenská 246, Bohumín-</w:t>
      </w:r>
      <w:proofErr w:type="spellStart"/>
      <w:r w:rsidR="00514B1C">
        <w:rPr>
          <w:rFonts w:ascii="Arial" w:eastAsia="Arial" w:hAnsi="Arial" w:cs="Arial"/>
          <w:color w:val="000000"/>
          <w:sz w:val="21"/>
          <w:szCs w:val="21"/>
        </w:rPr>
        <w:t>Pudlov</w:t>
      </w:r>
      <w:proofErr w:type="spellEnd"/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, telefon </w:t>
      </w:r>
      <w:r w:rsidR="00865BE3">
        <w:rPr>
          <w:rFonts w:ascii="Arial" w:eastAsia="Arial" w:hAnsi="Arial" w:cs="Arial"/>
          <w:color w:val="000000"/>
          <w:sz w:val="21"/>
          <w:szCs w:val="21"/>
        </w:rPr>
        <w:t>704 675 762</w:t>
      </w:r>
      <w:bookmarkStart w:id="0" w:name="_GoBack"/>
      <w:bookmarkEnd w:id="0"/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; email: </w:t>
      </w:r>
      <w:r w:rsidR="00865BE3">
        <w:rPr>
          <w:rFonts w:ascii="Arial" w:eastAsia="Arial" w:hAnsi="Arial" w:cs="Arial"/>
          <w:color w:val="000000"/>
          <w:sz w:val="21"/>
          <w:szCs w:val="21"/>
          <w:u w:val="single"/>
        </w:rPr>
        <w:t>vedouci.kanaan</w:t>
      </w:r>
      <w:r w:rsidR="00514B1C">
        <w:rPr>
          <w:rFonts w:ascii="Arial" w:eastAsia="Arial" w:hAnsi="Arial" w:cs="Arial"/>
          <w:color w:val="000000"/>
          <w:sz w:val="21"/>
          <w:szCs w:val="21"/>
          <w:u w:val="single"/>
        </w:rPr>
        <w:t>@slezskadiakonie.cz</w:t>
      </w:r>
      <w:r w:rsidR="00514B1C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K řešení stížnosti na vedoucí střediska je kompetentní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vedoucí oblasti Ostravsko: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Bc. Renáta Motyková,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DiS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Adresa: Slezská diakonie, Štramberská 2871/47, 703 00 Ostrava, mob. 733 142 429; email: </w:t>
      </w:r>
      <w:hyperlink r:id="rId11">
        <w:r>
          <w:rPr>
            <w:rFonts w:ascii="Arial" w:eastAsia="Arial" w:hAnsi="Arial" w:cs="Arial"/>
            <w:color w:val="000000"/>
            <w:sz w:val="21"/>
            <w:szCs w:val="21"/>
            <w:u w:val="single"/>
          </w:rPr>
          <w:t>r.motykova@slezskadiakonie.cz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Pr="00944EB0" w:rsidRDefault="00514B1C" w:rsidP="00944EB0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Chars="0" w:firstLineChars="0"/>
        <w:jc w:val="both"/>
        <w:rPr>
          <w:rFonts w:ascii="Arial" w:eastAsia="Arial" w:hAnsi="Arial" w:cs="Arial"/>
          <w:color w:val="0070C0"/>
          <w:sz w:val="21"/>
          <w:szCs w:val="21"/>
        </w:rPr>
      </w:pPr>
      <w:r w:rsidRPr="00944EB0">
        <w:rPr>
          <w:rFonts w:ascii="Arial" w:eastAsia="Arial" w:hAnsi="Arial" w:cs="Arial"/>
          <w:b/>
          <w:color w:val="0070C0"/>
          <w:sz w:val="21"/>
          <w:szCs w:val="21"/>
        </w:rPr>
        <w:t xml:space="preserve"> DALŠÍ OSOBY OPRÁVNĚNÉ K PŘIJETÍ STÍŽNOSTÍ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 má rovněž právo se pro podání stížnosti obrátit přímo k dalším vedoucím pracovníkům Slezské diakonie (bez toho, aniž by byl povinen nejprve řešit svou stížnost s pracovníky služby KANAAN Bohumín)</w:t>
      </w:r>
    </w:p>
    <w:p w:rsidR="00207D18" w:rsidRDefault="00514B1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>V případě, kdy je uživatel nespokojen s tím, jak byla jeho stížnost vyřízena, může se odvolat rovněž k dalším vedoucím pracovníkům Slezské diakonie či nezávislým orgánům.</w:t>
      </w:r>
    </w:p>
    <w:p w:rsidR="00944EB0" w:rsidRPr="00013D85" w:rsidRDefault="00944EB0" w:rsidP="00944EB0">
      <w:pPr>
        <w:spacing w:before="60" w:after="60"/>
        <w:ind w:left="0" w:hanging="2"/>
        <w:jc w:val="both"/>
        <w:rPr>
          <w:rFonts w:ascii="Arial" w:hAnsi="Arial" w:cs="Arial"/>
          <w:b/>
          <w:sz w:val="21"/>
          <w:szCs w:val="21"/>
        </w:rPr>
      </w:pPr>
      <w:r w:rsidRPr="00013D85">
        <w:rPr>
          <w:rFonts w:ascii="Arial" w:hAnsi="Arial" w:cs="Arial"/>
          <w:b/>
          <w:sz w:val="21"/>
          <w:szCs w:val="21"/>
        </w:rPr>
        <w:t>Kontaktní údaje Slezské diakonie</w:t>
      </w:r>
    </w:p>
    <w:p w:rsidR="00944EB0" w:rsidRPr="00013D85" w:rsidRDefault="00944EB0" w:rsidP="00944EB0">
      <w:pPr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Slezská diakonie</w:t>
      </w:r>
    </w:p>
    <w:p w:rsidR="00944EB0" w:rsidRPr="00013D85" w:rsidRDefault="00944EB0" w:rsidP="00944EB0">
      <w:pPr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Na Nivách 7/259, 737 01 Český Těšín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Vedení Slezské diakonie</w:t>
      </w:r>
    </w:p>
    <w:p w:rsidR="00944EB0" w:rsidRPr="00013D85" w:rsidRDefault="00944EB0" w:rsidP="00944EB0">
      <w:pPr>
        <w:numPr>
          <w:ilvl w:val="0"/>
          <w:numId w:val="10"/>
        </w:numPr>
        <w:suppressAutoHyphens w:val="0"/>
        <w:spacing w:after="0" w:line="240" w:lineRule="auto"/>
        <w:ind w:leftChars="0" w:left="0" w:firstLineChars="0" w:hanging="1"/>
        <w:textDirection w:val="lrTb"/>
        <w:textAlignment w:val="auto"/>
        <w:outlineLvl w:val="9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Mgr. Zuzana </w:t>
      </w:r>
      <w:proofErr w:type="spellStart"/>
      <w:r w:rsidRPr="00013D85">
        <w:rPr>
          <w:rFonts w:ascii="Arial" w:hAnsi="Arial" w:cs="Arial"/>
          <w:sz w:val="21"/>
          <w:szCs w:val="21"/>
        </w:rPr>
        <w:t>Filipková</w:t>
      </w:r>
      <w:proofErr w:type="spellEnd"/>
      <w:r w:rsidRPr="00013D85">
        <w:rPr>
          <w:rFonts w:ascii="Arial" w:hAnsi="Arial" w:cs="Arial"/>
          <w:sz w:val="21"/>
          <w:szCs w:val="21"/>
        </w:rPr>
        <w:t>, Ph.D., ředitelka 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tel. 730 166 120, e-mail: </w:t>
      </w:r>
      <w:hyperlink r:id="rId12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ustredi@slezskadiakonie.cz</w:t>
        </w:r>
      </w:hyperlink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</w:p>
    <w:p w:rsidR="00944EB0" w:rsidRPr="00013D85" w:rsidRDefault="00944EB0" w:rsidP="00944EB0">
      <w:pPr>
        <w:numPr>
          <w:ilvl w:val="0"/>
          <w:numId w:val="10"/>
        </w:numPr>
        <w:suppressAutoHyphens w:val="0"/>
        <w:spacing w:after="0" w:line="240" w:lineRule="auto"/>
        <w:ind w:leftChars="0" w:left="0" w:firstLineChars="0" w:hanging="1"/>
        <w:textDirection w:val="lrTb"/>
        <w:textAlignment w:val="auto"/>
        <w:outlineLvl w:val="9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Mgr. Ing. Romana </w:t>
      </w:r>
      <w:proofErr w:type="spellStart"/>
      <w:r w:rsidRPr="00013D85">
        <w:rPr>
          <w:rFonts w:ascii="Arial" w:hAnsi="Arial" w:cs="Arial"/>
          <w:sz w:val="21"/>
          <w:szCs w:val="21"/>
        </w:rPr>
        <w:t>Bélová</w:t>
      </w:r>
      <w:proofErr w:type="spellEnd"/>
      <w:r w:rsidRPr="00013D85">
        <w:rPr>
          <w:rFonts w:ascii="Arial" w:hAnsi="Arial" w:cs="Arial"/>
          <w:sz w:val="21"/>
          <w:szCs w:val="21"/>
        </w:rPr>
        <w:t>, náměstkyně ředitelky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 - tel: 731 199 480, e-mail: </w:t>
      </w:r>
      <w:hyperlink r:id="rId13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r.belova@slezskadiakonie.cz</w:t>
        </w:r>
      </w:hyperlink>
    </w:p>
    <w:p w:rsidR="00944EB0" w:rsidRPr="00013D85" w:rsidRDefault="00944EB0" w:rsidP="00944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sz w:val="21"/>
          <w:szCs w:val="21"/>
        </w:rPr>
      </w:pP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bCs/>
          <w:sz w:val="21"/>
          <w:szCs w:val="21"/>
        </w:rPr>
      </w:pPr>
      <w:r w:rsidRPr="00013D85">
        <w:rPr>
          <w:rFonts w:ascii="Arial" w:hAnsi="Arial" w:cs="Arial"/>
          <w:bCs/>
          <w:sz w:val="21"/>
          <w:szCs w:val="21"/>
        </w:rPr>
        <w:t>Další možnosti podání stížnosti: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b/>
          <w:bCs/>
          <w:sz w:val="21"/>
          <w:szCs w:val="21"/>
          <w:u w:val="single"/>
        </w:rPr>
      </w:pP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Zřizovatel Slezské diakonie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Slezská církev evangelická </w:t>
      </w:r>
      <w:proofErr w:type="spellStart"/>
      <w:r w:rsidRPr="00013D85">
        <w:rPr>
          <w:rFonts w:ascii="Arial" w:hAnsi="Arial" w:cs="Arial"/>
          <w:sz w:val="21"/>
          <w:szCs w:val="21"/>
        </w:rPr>
        <w:t>a.v</w:t>
      </w:r>
      <w:proofErr w:type="spellEnd"/>
      <w:r w:rsidRPr="00013D85">
        <w:rPr>
          <w:rFonts w:ascii="Arial" w:hAnsi="Arial" w:cs="Arial"/>
          <w:sz w:val="21"/>
          <w:szCs w:val="21"/>
        </w:rPr>
        <w:t>.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Na Nivách 7/259, 737 01 Český Těšín</w:t>
      </w:r>
    </w:p>
    <w:p w:rsidR="00944EB0" w:rsidRPr="00013D85" w:rsidRDefault="00944EB0" w:rsidP="00944EB0">
      <w:pPr>
        <w:spacing w:after="0" w:line="240" w:lineRule="auto"/>
        <w:ind w:left="0" w:hanging="2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tel: 558 764 380, e-mail: </w:t>
      </w:r>
      <w:hyperlink r:id="rId14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sekretariat@sceav.cz</w:t>
        </w:r>
      </w:hyperlink>
      <w:r w:rsidRPr="00013D85">
        <w:rPr>
          <w:rFonts w:ascii="Arial" w:hAnsi="Arial" w:cs="Arial"/>
          <w:sz w:val="21"/>
          <w:szCs w:val="21"/>
        </w:rPr>
        <w:t> </w:t>
      </w: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Další nezávislé orgány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 </w:t>
      </w:r>
    </w:p>
    <w:p w:rsidR="00944EB0" w:rsidRDefault="00944EB0" w:rsidP="00944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Kancelář veřejného ochránce práv,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Údolní 39, 602 00 Brno, tel.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info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linka:  542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542 888, </w:t>
      </w:r>
    </w:p>
    <w:p w:rsidR="00944EB0" w:rsidRDefault="00944EB0" w:rsidP="00944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Český helsinský výbor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Štefánikova 21, 150 00 Praha 5, tel.: 257 221 142 nebo </w:t>
      </w:r>
      <w:r>
        <w:rPr>
          <w:rFonts w:ascii="Arial" w:eastAsia="Arial" w:hAnsi="Arial" w:cs="Arial"/>
          <w:color w:val="333333"/>
          <w:sz w:val="21"/>
          <w:szCs w:val="21"/>
          <w:shd w:val="clear" w:color="auto" w:fill="FFFFF0"/>
        </w:rPr>
        <w:t>773 115 951</w:t>
      </w:r>
    </w:p>
    <w:p w:rsidR="00944EB0" w:rsidRDefault="00944EB0" w:rsidP="00944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Krajský úřad Moravskoslezského kraje</w:t>
      </w:r>
      <w:r>
        <w:rPr>
          <w:rFonts w:ascii="Arial" w:eastAsia="Arial" w:hAnsi="Arial" w:cs="Arial"/>
          <w:color w:val="000000"/>
          <w:sz w:val="21"/>
          <w:szCs w:val="21"/>
        </w:rPr>
        <w:t>, odbor sociálních věcí; 28. října 117, 702 18 Ostrava; tel: 595 622 222 (spojovatel)</w:t>
      </w: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0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44EB0" w:rsidRPr="000E6CC1" w:rsidRDefault="00944EB0" w:rsidP="00944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V případě, kdy uživatel či jeho zástupce nesouhlasí s tím, jak byla jeho stížnost vyřízena či nedošlo k dodržení lhůty služby pro vyřízení stížnosti, má uživatel právo obrátit se ve lhůtě do 60 dnů od doručení zprávy o řešení stížnosti na Ministerstvo práce a sociálních věcí. Je potřeba, aby uživatel popsal </w:t>
      </w:r>
      <w:proofErr w:type="gramStart"/>
      <w:r w:rsidRPr="000E6CC1">
        <w:rPr>
          <w:rFonts w:ascii="Arial" w:eastAsia="Arial" w:hAnsi="Arial" w:cs="Arial"/>
          <w:color w:val="000000"/>
          <w:sz w:val="21"/>
          <w:szCs w:val="21"/>
        </w:rPr>
        <w:t>Ministerstvu</w:t>
      </w:r>
      <w:proofErr w:type="gramEnd"/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 důvody, proč žádá o prošetření. Služba je v takovém případě povinna s </w:t>
      </w:r>
      <w:proofErr w:type="gramStart"/>
      <w:r w:rsidRPr="000E6CC1">
        <w:rPr>
          <w:rFonts w:ascii="Arial" w:eastAsia="Arial" w:hAnsi="Arial" w:cs="Arial"/>
          <w:color w:val="000000"/>
          <w:sz w:val="21"/>
          <w:szCs w:val="21"/>
        </w:rPr>
        <w:t>Ministerstvem</w:t>
      </w:r>
      <w:proofErr w:type="gramEnd"/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 spolupracovat.</w:t>
      </w:r>
    </w:p>
    <w:p w:rsidR="00944EB0" w:rsidRDefault="00944EB0" w:rsidP="00944EB0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944EB0" w:rsidRPr="00F83AD2" w:rsidRDefault="00944EB0" w:rsidP="00944EB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uppressAutoHyphens w:val="0"/>
        <w:spacing w:after="0" w:line="240" w:lineRule="auto"/>
        <w:ind w:leftChars="0" w:left="0" w:firstLineChars="0" w:hanging="1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1"/>
          <w:szCs w:val="21"/>
        </w:rPr>
      </w:pPr>
      <w:r w:rsidRPr="00F83AD2">
        <w:rPr>
          <w:rFonts w:ascii="Arial" w:eastAsia="Arial" w:hAnsi="Arial" w:cs="Arial"/>
          <w:b/>
          <w:color w:val="000000"/>
          <w:sz w:val="21"/>
          <w:szCs w:val="21"/>
        </w:rPr>
        <w:t xml:space="preserve">Ministerstvo práce a sociálních věcí, </w:t>
      </w:r>
      <w:r w:rsidRPr="00F83AD2">
        <w:rPr>
          <w:rFonts w:ascii="Arial" w:eastAsia="Arial" w:hAnsi="Arial" w:cs="Arial"/>
          <w:color w:val="000000"/>
          <w:sz w:val="21"/>
          <w:szCs w:val="21"/>
        </w:rPr>
        <w:t xml:space="preserve">Na Poříčním právu 1/376, 128 </w:t>
      </w:r>
      <w:proofErr w:type="gramStart"/>
      <w:r w:rsidRPr="00F83AD2">
        <w:rPr>
          <w:rFonts w:ascii="Arial" w:eastAsia="Arial" w:hAnsi="Arial" w:cs="Arial"/>
          <w:color w:val="000000"/>
          <w:sz w:val="21"/>
          <w:szCs w:val="21"/>
        </w:rPr>
        <w:t>00  Praha</w:t>
      </w:r>
      <w:proofErr w:type="gramEnd"/>
      <w:r w:rsidRPr="00F83AD2">
        <w:rPr>
          <w:rFonts w:ascii="Arial" w:eastAsia="Arial" w:hAnsi="Arial" w:cs="Arial"/>
          <w:color w:val="000000"/>
          <w:sz w:val="21"/>
          <w:szCs w:val="21"/>
        </w:rPr>
        <w:t xml:space="preserve"> 2; tel. </w:t>
      </w:r>
      <w:r w:rsidRPr="00F83AD2"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>950 191 111 (spojovatel)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, </w:t>
      </w:r>
      <w:r w:rsidRPr="00F83AD2">
        <w:rPr>
          <w:rFonts w:ascii="Arial" w:hAnsi="Arial" w:cs="Arial"/>
          <w:b/>
          <w:color w:val="212121"/>
          <w:spacing w:val="9"/>
          <w:sz w:val="21"/>
          <w:szCs w:val="21"/>
          <w:shd w:val="clear" w:color="auto" w:fill="FFFFFF"/>
        </w:rPr>
        <w:t>email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: </w:t>
      </w:r>
      <w:r w:rsidRPr="00F83AD2"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>posta@mpsv.cz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; </w:t>
      </w:r>
      <w:r w:rsidRPr="00F83AD2">
        <w:rPr>
          <w:rFonts w:ascii="Arial" w:hAnsi="Arial" w:cs="Arial"/>
          <w:b/>
          <w:bCs/>
          <w:color w:val="212121"/>
          <w:spacing w:val="9"/>
          <w:sz w:val="21"/>
          <w:szCs w:val="21"/>
        </w:rPr>
        <w:t>Datová schránka: </w:t>
      </w:r>
      <w:r w:rsidRPr="00F83AD2">
        <w:rPr>
          <w:rFonts w:ascii="Arial" w:hAnsi="Arial" w:cs="Arial"/>
          <w:color w:val="212121"/>
          <w:spacing w:val="9"/>
          <w:sz w:val="21"/>
          <w:szCs w:val="21"/>
        </w:rPr>
        <w:t>sc9aavg</w:t>
      </w: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207D18" w:rsidRDefault="00207D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 w:rsidR="00207D18">
      <w:footerReference w:type="default" r:id="rId15"/>
      <w:pgSz w:w="11906" w:h="16838"/>
      <w:pgMar w:top="1417" w:right="1417" w:bottom="1417" w:left="1417" w:header="708" w:footer="708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DD" w:rsidRDefault="003568D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568DD" w:rsidRDefault="003568D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18" w:rsidRDefault="00207D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207D18" w:rsidRDefault="00207D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DD" w:rsidRDefault="003568D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568DD" w:rsidRDefault="003568DD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711"/>
    <w:multiLevelType w:val="multilevel"/>
    <w:tmpl w:val="E21CE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FB7E08"/>
    <w:multiLevelType w:val="hybridMultilevel"/>
    <w:tmpl w:val="CFF209DA"/>
    <w:lvl w:ilvl="0" w:tplc="7B2E0442">
      <w:start w:val="5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3E03A72"/>
    <w:multiLevelType w:val="multilevel"/>
    <w:tmpl w:val="F070A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7A6355"/>
    <w:multiLevelType w:val="hybridMultilevel"/>
    <w:tmpl w:val="CDB2BD6A"/>
    <w:lvl w:ilvl="0" w:tplc="CDACD632">
      <w:start w:val="7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8540522"/>
    <w:multiLevelType w:val="multilevel"/>
    <w:tmpl w:val="0DFC01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D1A1D2C"/>
    <w:multiLevelType w:val="multilevel"/>
    <w:tmpl w:val="B044A4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2CE3D9D"/>
    <w:multiLevelType w:val="hybridMultilevel"/>
    <w:tmpl w:val="4808F18C"/>
    <w:lvl w:ilvl="0" w:tplc="5A9EB76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7006B"/>
    <w:multiLevelType w:val="hybridMultilevel"/>
    <w:tmpl w:val="03B0B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70F9D"/>
    <w:multiLevelType w:val="multilevel"/>
    <w:tmpl w:val="59C67C3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44A5719"/>
    <w:multiLevelType w:val="multilevel"/>
    <w:tmpl w:val="5E2C583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4562EAC"/>
    <w:multiLevelType w:val="multilevel"/>
    <w:tmpl w:val="7B8E6E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7F80C98"/>
    <w:multiLevelType w:val="multilevel"/>
    <w:tmpl w:val="8E8C25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1CC010E"/>
    <w:multiLevelType w:val="multilevel"/>
    <w:tmpl w:val="407EA2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18"/>
    <w:rsid w:val="00013945"/>
    <w:rsid w:val="00207D18"/>
    <w:rsid w:val="002D762E"/>
    <w:rsid w:val="003568DD"/>
    <w:rsid w:val="00514B1C"/>
    <w:rsid w:val="00561364"/>
    <w:rsid w:val="00783A2C"/>
    <w:rsid w:val="00816114"/>
    <w:rsid w:val="00865BE3"/>
    <w:rsid w:val="00944EB0"/>
    <w:rsid w:val="009D7E51"/>
    <w:rsid w:val="00A039E7"/>
    <w:rsid w:val="00B351E1"/>
    <w:rsid w:val="00C61CA3"/>
    <w:rsid w:val="00D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047"/>
  <w15:docId w15:val="{1F8C3A15-A39B-4F1A-ACB8-DA18E624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character" w:customStyle="1" w:styleId="Nadpis2Char">
    <w:name w:val="Nadpis 2 Char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Zkladntext">
    <w:name w:val="Body Text"/>
    <w:basedOn w:val="Normln"/>
    <w:pPr>
      <w:spacing w:line="240" w:lineRule="auto"/>
      <w:jc w:val="both"/>
    </w:pPr>
    <w:rPr>
      <w:sz w:val="20"/>
      <w:szCs w:val="20"/>
    </w:rPr>
  </w:style>
  <w:style w:type="character" w:customStyle="1" w:styleId="ZkladntextChar">
    <w:name w:val="Základní text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865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belova@slezskadiak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tredi@slezskadiakoni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motykova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edouci.kanaan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aan@slezskadiakonie.cz" TargetMode="External"/><Relationship Id="rId14" Type="http://schemas.openxmlformats.org/officeDocument/2006/relationships/hyperlink" Target="mailto:sekretariat@scea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ZPVRkW/pIV5/PMmGW9jOL6QrQ==">CgMxLjA4AHIhMVlXSUZDbFh1NDRMYWNxM0tkVm1ORk5hZ0RBVF9LU1B1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Diakonie</cp:lastModifiedBy>
  <cp:revision>3</cp:revision>
  <dcterms:created xsi:type="dcterms:W3CDTF">2025-03-20T14:49:00Z</dcterms:created>
  <dcterms:modified xsi:type="dcterms:W3CDTF">2025-03-30T16:29:00Z</dcterms:modified>
</cp:coreProperties>
</file>