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93dd"/>
          <w:sz w:val="22"/>
          <w:szCs w:val="22"/>
        </w:rPr>
        <w:sectPr>
          <w:headerReference r:id="rId7" w:type="default"/>
          <w:footerReference r:id="rId8" w:type="default"/>
          <w:pgSz w:h="16838" w:w="11906" w:orient="portrait"/>
          <w:pgMar w:bottom="1247" w:top="1247" w:left="1418" w:right="1418" w:header="709" w:footer="709"/>
          <w:pgNumType w:start="1"/>
        </w:sect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32"/>
          <w:szCs w:val="32"/>
          <w:u w:val="single"/>
        </w:rPr>
      </w:pPr>
      <w:r w:rsidDel="00000000" w:rsidR="00000000" w:rsidRPr="00000000">
        <w:rPr>
          <w:rFonts w:ascii="Arial" w:cs="Arial" w:eastAsia="Arial" w:hAnsi="Arial"/>
          <w:b w:val="1"/>
          <w:sz w:val="32"/>
          <w:szCs w:val="32"/>
          <w:u w:val="single"/>
          <w:rtl w:val="0"/>
        </w:rPr>
        <w:t xml:space="preserve">Ceník služeb střediska ELIADA Brno platný od 1. 1. 2023</w:t>
      </w: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i w:val="1"/>
          <w:rtl w:val="0"/>
        </w:rPr>
        <w:t xml:space="preserve">Ceny platí pro sociální službu Osobní asistence.</w:t>
      </w: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Cena za 1 hodinu služby (60 minut) činí 135 Kč.</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Cena za neúplné hodiny se poměrně krátí.</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První poskytnutá služba je zdarma (obsahuje zácvik asistenta, při poskytování služby je přítomna pečující osoba či zákonný zástupce klienta).</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Služby odvolané později než 24 hodin před plánovanou službou a služby neodvolané, se účtují jako služby vykonané.</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Služba zkrácená ze strany klienta během jejího poskytování se účtuje jako služba nezkrácená.</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jc w:val="both"/>
        <w:rPr>
          <w:rFonts w:ascii="Arial" w:cs="Arial" w:eastAsia="Arial" w:hAnsi="Arial"/>
        </w:rPr>
      </w:pPr>
      <w:r w:rsidDel="00000000" w:rsidR="00000000" w:rsidRPr="00000000">
        <w:rPr>
          <w:rFonts w:ascii="Arial" w:cs="Arial" w:eastAsia="Arial" w:hAnsi="Arial"/>
          <w:rtl w:val="0"/>
        </w:rPr>
        <w:t xml:space="preserve">Pokud je služba zrušena ze strany poskytovatele později než 24 hodin před jejím plánovaným začátkem, následující služba zrušená ze strany klienta později než 24 hodin před jejím začátkem se klientovi nebude účtovat. Evidence těchto služeb bude vedena sociálním pracovníkem služby. Tento princip bude uplatňován bez ohledu na počet hodin jedné nebo druhé služby.</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Klient dále hradí vstupné dítěti i osobnímu asistentovi na kulturní, společenské a jiné akce, kde je osobní asistent s klientem jako doprovod.</w:t>
      </w:r>
    </w:p>
    <w:p w:rsidR="00000000" w:rsidDel="00000000" w:rsidP="00000000" w:rsidRDefault="00000000" w:rsidRPr="00000000" w14:paraId="0000001C">
      <w:pPr>
        <w:rPr>
          <w:rFonts w:ascii="Arial" w:cs="Arial" w:eastAsia="Arial" w:hAnsi="Arial"/>
        </w:rPr>
      </w:pPr>
      <w:r w:rsidDel="00000000" w:rsidR="00000000" w:rsidRPr="00000000">
        <w:rPr>
          <w:rtl w:val="0"/>
        </w:rPr>
      </w:r>
    </w:p>
    <w:tbl>
      <w:tblPr>
        <w:tblStyle w:val="Table1"/>
        <w:tblW w:w="7746.0" w:type="dxa"/>
        <w:jc w:val="left"/>
        <w:tblInd w:w="-15.0" w:type="dxa"/>
        <w:tblLayout w:type="fixed"/>
        <w:tblLook w:val="0000"/>
      </w:tblPr>
      <w:tblGrid>
        <w:gridCol w:w="2275"/>
        <w:gridCol w:w="1360"/>
        <w:gridCol w:w="1520"/>
        <w:gridCol w:w="1631"/>
        <w:gridCol w:w="960"/>
        <w:tblGridChange w:id="0">
          <w:tblGrid>
            <w:gridCol w:w="2275"/>
            <w:gridCol w:w="1360"/>
            <w:gridCol w:w="1520"/>
            <w:gridCol w:w="1631"/>
            <w:gridCol w:w="960"/>
          </w:tblGrid>
        </w:tblGridChange>
      </w:tblGrid>
      <w:tr>
        <w:trPr>
          <w:cantSplit w:val="0"/>
          <w:trHeight w:val="240" w:hRule="atLeast"/>
          <w:tblHeader w:val="0"/>
        </w:trPr>
        <w:tc>
          <w:tcPr/>
          <w:p w:rsidR="00000000" w:rsidDel="00000000" w:rsidP="00000000" w:rsidRDefault="00000000" w:rsidRPr="00000000" w14:paraId="0000001D">
            <w:pPr>
              <w:rPr>
                <w:rFonts w:ascii="Arial" w:cs="Arial" w:eastAsia="Arial" w:hAnsi="Arial"/>
              </w:rPr>
            </w:pPr>
            <w:r w:rsidDel="00000000" w:rsidR="00000000" w:rsidRPr="00000000">
              <w:rPr>
                <w:rtl w:val="0"/>
              </w:rPr>
            </w:r>
          </w:p>
        </w:tc>
        <w:tc>
          <w:tcPr/>
          <w:p w:rsidR="00000000" w:rsidDel="00000000" w:rsidP="00000000" w:rsidRDefault="00000000" w:rsidRPr="00000000" w14:paraId="0000001E">
            <w:pPr>
              <w:rPr>
                <w:rFonts w:ascii="Arial" w:cs="Arial" w:eastAsia="Arial" w:hAnsi="Arial"/>
              </w:rPr>
            </w:pPr>
            <w:r w:rsidDel="00000000" w:rsidR="00000000" w:rsidRPr="00000000">
              <w:rPr>
                <w:rtl w:val="0"/>
              </w:rPr>
            </w:r>
          </w:p>
        </w:tc>
        <w:tc>
          <w:tcPr/>
          <w:p w:rsidR="00000000" w:rsidDel="00000000" w:rsidP="00000000" w:rsidRDefault="00000000" w:rsidRPr="00000000" w14:paraId="0000001F">
            <w:pPr>
              <w:rPr>
                <w:rFonts w:ascii="Arial" w:cs="Arial" w:eastAsia="Arial" w:hAnsi="Arial"/>
              </w:rPr>
            </w:pPr>
            <w:r w:rsidDel="00000000" w:rsidR="00000000" w:rsidRPr="00000000">
              <w:rPr>
                <w:rtl w:val="0"/>
              </w:rPr>
            </w:r>
          </w:p>
        </w:tc>
        <w:tc>
          <w:tcPr/>
          <w:p w:rsidR="00000000" w:rsidDel="00000000" w:rsidP="00000000" w:rsidRDefault="00000000" w:rsidRPr="00000000" w14:paraId="00000020">
            <w:pPr>
              <w:rPr>
                <w:rFonts w:ascii="Arial" w:cs="Arial" w:eastAsia="Arial" w:hAnsi="Arial"/>
              </w:rPr>
            </w:pPr>
            <w:r w:rsidDel="00000000" w:rsidR="00000000" w:rsidRPr="00000000">
              <w:rPr>
                <w:rtl w:val="0"/>
              </w:rPr>
            </w:r>
          </w:p>
        </w:tc>
        <w:tc>
          <w:tcPr/>
          <w:p w:rsidR="00000000" w:rsidDel="00000000" w:rsidP="00000000" w:rsidRDefault="00000000" w:rsidRPr="00000000" w14:paraId="00000021">
            <w:pPr>
              <w:rPr>
                <w:rFonts w:ascii="Arial" w:cs="Arial" w:eastAsia="Arial" w:hAnsi="Arial"/>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22">
            <w:pPr>
              <w:rPr>
                <w:rFonts w:ascii="Arial" w:cs="Arial" w:eastAsia="Arial" w:hAnsi="Arial"/>
              </w:rPr>
            </w:pP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tl w:val="0"/>
              </w:rPr>
            </w:r>
          </w:p>
        </w:tc>
        <w:tc>
          <w:tcPr/>
          <w:p w:rsidR="00000000" w:rsidDel="00000000" w:rsidP="00000000" w:rsidRDefault="00000000" w:rsidRPr="00000000" w14:paraId="00000025">
            <w:pPr>
              <w:rPr>
                <w:rFonts w:ascii="Arial" w:cs="Arial" w:eastAsia="Arial" w:hAnsi="Arial"/>
              </w:rPr>
            </w:pP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tl w:val="0"/>
              </w:rPr>
            </w:r>
          </w:p>
        </w:tc>
      </w:tr>
    </w:tbl>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rPr>
      </w:pPr>
      <w:bookmarkStart w:colFirst="0" w:colLast="0" w:name="_heading=h.n18um06rubgp" w:id="0"/>
      <w:bookmarkEnd w:id="0"/>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tabs>
          <w:tab w:val="left" w:pos="3324"/>
        </w:tabs>
        <w:rPr>
          <w:rFonts w:ascii="Arial" w:cs="Arial" w:eastAsia="Arial" w:hAnsi="Arial"/>
        </w:rPr>
      </w:pPr>
      <w:r w:rsidDel="00000000" w:rsidR="00000000" w:rsidRPr="00000000">
        <w:rPr>
          <w:rtl w:val="0"/>
        </w:rPr>
      </w:r>
    </w:p>
    <w:p w:rsidR="00000000" w:rsidDel="00000000" w:rsidP="00000000" w:rsidRDefault="00000000" w:rsidRPr="00000000" w14:paraId="0000002E">
      <w:pPr>
        <w:tabs>
          <w:tab w:val="left" w:pos="3324"/>
        </w:tabs>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pos="3324"/>
        </w:tabs>
        <w:rPr>
          <w:rFonts w:ascii="Arial" w:cs="Arial" w:eastAsia="Arial" w:hAnsi="Arial"/>
        </w:rPr>
      </w:pPr>
      <w:r w:rsidDel="00000000" w:rsidR="00000000" w:rsidRPr="00000000">
        <w:rPr>
          <w:rtl w:val="0"/>
        </w:rPr>
      </w:r>
    </w:p>
    <w:p w:rsidR="00000000" w:rsidDel="00000000" w:rsidP="00000000" w:rsidRDefault="00000000" w:rsidRPr="00000000" w14:paraId="00000030">
      <w:pPr>
        <w:tabs>
          <w:tab w:val="left" w:pos="3324"/>
        </w:tabs>
        <w:rPr>
          <w:rFonts w:ascii="Arial" w:cs="Arial" w:eastAsia="Arial" w:hAnsi="Arial"/>
        </w:rPr>
      </w:pPr>
      <w:r w:rsidDel="00000000" w:rsidR="00000000" w:rsidRPr="00000000">
        <w:rPr>
          <w:rtl w:val="0"/>
        </w:rPr>
      </w:r>
    </w:p>
    <w:p w:rsidR="00000000" w:rsidDel="00000000" w:rsidP="00000000" w:rsidRDefault="00000000" w:rsidRPr="00000000" w14:paraId="00000031">
      <w:pPr>
        <w:tabs>
          <w:tab w:val="left" w:pos="3324"/>
        </w:tabs>
        <w:rPr>
          <w:rFonts w:ascii="Arial" w:cs="Arial" w:eastAsia="Arial" w:hAnsi="Arial"/>
        </w:rPr>
      </w:pPr>
      <w:r w:rsidDel="00000000" w:rsidR="00000000" w:rsidRPr="00000000">
        <w:rPr>
          <w:rFonts w:ascii="Arial" w:cs="Arial" w:eastAsia="Arial" w:hAnsi="Arial"/>
          <w:rtl w:val="0"/>
        </w:rPr>
        <w:t xml:space="preserve">V Brně dne 9. 11. 2022</w:t>
        <w:tab/>
      </w:r>
    </w:p>
    <w:sectPr>
      <w:type w:val="continuous"/>
      <w:pgSz w:h="16838" w:w="11906" w:orient="portrait"/>
      <w:pgMar w:bottom="1259" w:top="709" w:left="1134" w:right="1134" w:header="709" w:footer="8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smallCaps w:val="1"/>
        <w:color w:val="5a5a5a"/>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5982660</wp:posOffset>
          </wp:positionH>
          <wp:positionV relativeFrom="page">
            <wp:posOffset>200620</wp:posOffset>
          </wp:positionV>
          <wp:extent cx="856933" cy="765118"/>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6933" cy="765118"/>
                  </a:xfrm>
                  <a:prstGeom prst="rect"/>
                  <a:ln/>
                </pic:spPr>
              </pic:pic>
            </a:graphicData>
          </a:graphic>
        </wp:anchor>
      </w:drawing>
    </w:r>
    <w:r w:rsidDel="00000000" w:rsidR="00000000" w:rsidRPr="00000000">
      <w:rPr/>
      <w:drawing>
        <wp:inline distB="114300" distT="114300" distL="114300" distR="114300">
          <wp:extent cx="3362008" cy="452250"/>
          <wp:effectExtent b="0" l="0" r="0" t="0"/>
          <wp:docPr id="1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362008" cy="452250"/>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pPr>
    <w:rPr>
      <w:rFonts w:ascii="Times New Roman" w:cs="Times New Roman" w:eastAsia="Times New Roman" w:hAnsi="Times New Roman"/>
      <w:b w:val="1"/>
      <w:i w:val="0"/>
      <w:smallCaps w:val="1"/>
      <w:strike w:val="0"/>
      <w:color w:val="000000"/>
      <w:sz w:val="32"/>
      <w:szCs w:val="3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008" w:right="0" w:hanging="1008"/>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152" w:right="0" w:hanging="1152"/>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pPr>
    <w:rPr>
      <w:rFonts w:ascii="Arial" w:cs="Arial" w:eastAsia="Arial" w:hAnsi="Arial"/>
      <w:b w:val="1"/>
      <w:i w:val="0"/>
      <w:smallCaps w:val="0"/>
      <w:strike w:val="0"/>
      <w:color w:val="000000"/>
      <w:sz w:val="32"/>
      <w:szCs w:val="32"/>
      <w:u w:val="none"/>
      <w:shd w:fill="auto" w:val="clear"/>
      <w:vertAlign w:val="baseline"/>
    </w:rPr>
  </w:style>
  <w:style w:type="paragraph" w:styleId="Normln" w:default="1">
    <w:name w:val="Normal"/>
    <w:qFormat w:val="1"/>
  </w:style>
  <w:style w:type="paragraph" w:styleId="Nadpis1">
    <w:name w:val="heading 1"/>
    <w:basedOn w:val="Normln1"/>
    <w:next w:val="Normln1"/>
    <w:uiPriority w:val="9"/>
    <w:qFormat w:val="1"/>
    <w:rsid w:val="0015272E"/>
    <w:pPr>
      <w:keepNext w:val="1"/>
      <w:spacing w:after="60" w:before="120"/>
      <w:outlineLvl w:val="0"/>
    </w:pPr>
    <w:rPr>
      <w:b w:val="1"/>
      <w:smallCaps w:val="1"/>
      <w:sz w:val="32"/>
      <w:szCs w:val="32"/>
    </w:rPr>
  </w:style>
  <w:style w:type="paragraph" w:styleId="Nadpis2">
    <w:name w:val="heading 2"/>
    <w:basedOn w:val="Normln1"/>
    <w:next w:val="Normln1"/>
    <w:uiPriority w:val="9"/>
    <w:semiHidden w:val="1"/>
    <w:unhideWhenUsed w:val="1"/>
    <w:qFormat w:val="1"/>
    <w:rsid w:val="0015272E"/>
    <w:pPr>
      <w:keepNext w:val="1"/>
      <w:spacing w:after="180" w:before="120"/>
      <w:outlineLvl w:val="1"/>
    </w:pPr>
    <w:rPr>
      <w:b w:val="1"/>
      <w:sz w:val="28"/>
      <w:szCs w:val="28"/>
    </w:rPr>
  </w:style>
  <w:style w:type="paragraph" w:styleId="Nadpis3">
    <w:name w:val="heading 3"/>
    <w:basedOn w:val="Normln1"/>
    <w:next w:val="Normln1"/>
    <w:uiPriority w:val="9"/>
    <w:semiHidden w:val="1"/>
    <w:unhideWhenUsed w:val="1"/>
    <w:qFormat w:val="1"/>
    <w:rsid w:val="0015272E"/>
    <w:pPr>
      <w:keepNext w:val="1"/>
      <w:jc w:val="center"/>
      <w:outlineLvl w:val="2"/>
    </w:pPr>
  </w:style>
  <w:style w:type="paragraph" w:styleId="Nadpis4">
    <w:name w:val="heading 4"/>
    <w:basedOn w:val="Normln1"/>
    <w:next w:val="Normln1"/>
    <w:uiPriority w:val="9"/>
    <w:semiHidden w:val="1"/>
    <w:unhideWhenUsed w:val="1"/>
    <w:qFormat w:val="1"/>
    <w:rsid w:val="0015272E"/>
    <w:pPr>
      <w:keepNext w:val="1"/>
      <w:spacing w:before="180"/>
      <w:outlineLvl w:val="3"/>
    </w:pPr>
    <w:rPr>
      <w:b w:val="1"/>
    </w:rPr>
  </w:style>
  <w:style w:type="paragraph" w:styleId="Nadpis5">
    <w:name w:val="heading 5"/>
    <w:basedOn w:val="Normln1"/>
    <w:next w:val="Normln1"/>
    <w:uiPriority w:val="9"/>
    <w:semiHidden w:val="1"/>
    <w:unhideWhenUsed w:val="1"/>
    <w:qFormat w:val="1"/>
    <w:rsid w:val="0015272E"/>
    <w:pPr>
      <w:spacing w:after="60" w:before="240"/>
      <w:ind w:left="1008" w:hanging="1008"/>
      <w:outlineLvl w:val="4"/>
    </w:pPr>
    <w:rPr>
      <w:b w:val="1"/>
      <w:i w:val="1"/>
      <w:sz w:val="26"/>
      <w:szCs w:val="26"/>
    </w:rPr>
  </w:style>
  <w:style w:type="paragraph" w:styleId="Nadpis6">
    <w:name w:val="heading 6"/>
    <w:basedOn w:val="Normln1"/>
    <w:next w:val="Normln1"/>
    <w:uiPriority w:val="9"/>
    <w:semiHidden w:val="1"/>
    <w:unhideWhenUsed w:val="1"/>
    <w:qFormat w:val="1"/>
    <w:rsid w:val="0015272E"/>
    <w:pPr>
      <w:spacing w:after="60" w:before="240"/>
      <w:ind w:left="1152" w:hanging="1152"/>
      <w:outlineLvl w:val="5"/>
    </w:pPr>
    <w:rPr>
      <w:b w:val="1"/>
      <w:sz w:val="22"/>
      <w:szCs w:val="2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1"/>
    <w:next w:val="Normln1"/>
    <w:uiPriority w:val="10"/>
    <w:qFormat w:val="1"/>
    <w:rsid w:val="0015272E"/>
    <w:pPr>
      <w:spacing w:after="60" w:before="240"/>
      <w:jc w:val="center"/>
    </w:pPr>
    <w:rPr>
      <w:rFonts w:ascii="Arial" w:cs="Arial" w:eastAsia="Arial" w:hAnsi="Arial"/>
      <w:b w:val="1"/>
      <w:sz w:val="32"/>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ln1" w:customStyle="1">
    <w:name w:val="Normální1"/>
    <w:rsid w:val="0015272E"/>
  </w:style>
  <w:style w:type="table" w:styleId="TableNormal2" w:customStyle="1">
    <w:name w:val="Table Normal"/>
    <w:rsid w:val="0015272E"/>
    <w:tblPr>
      <w:tblCellMar>
        <w:top w:w="0.0" w:type="dxa"/>
        <w:left w:w="0.0" w:type="dxa"/>
        <w:bottom w:w="0.0" w:type="dxa"/>
        <w:right w:w="0.0" w:type="dxa"/>
      </w:tblCellMar>
    </w:tblPr>
  </w:style>
  <w:style w:type="paragraph" w:styleId="Podnadpis">
    <w:name w:val="Subtitle"/>
    <w:basedOn w:val="Normln"/>
    <w:next w:val="Normln"/>
    <w:uiPriority w:val="11"/>
    <w:qFormat w:val="1"/>
    <w:pPr>
      <w:pBdr>
        <w:top w:space="0" w:sz="0" w:val="nil"/>
        <w:left w:space="0" w:sz="0" w:val="nil"/>
        <w:bottom w:space="0" w:sz="0" w:val="nil"/>
        <w:right w:space="0" w:sz="0" w:val="nil"/>
        <w:between w:space="0" w:sz="0" w:val="nil"/>
      </w:pBdr>
      <w:spacing w:after="60"/>
      <w:jc w:val="center"/>
    </w:pPr>
    <w:rPr>
      <w:rFonts w:ascii="Arial" w:cs="Arial" w:eastAsia="Arial" w:hAnsi="Arial"/>
      <w:color w:val="000000"/>
    </w:rPr>
  </w:style>
  <w:style w:type="paragraph" w:styleId="Textbubliny">
    <w:name w:val="Balloon Text"/>
    <w:basedOn w:val="Normln"/>
    <w:link w:val="TextbublinyChar"/>
    <w:uiPriority w:val="99"/>
    <w:semiHidden w:val="1"/>
    <w:unhideWhenUsed w:val="1"/>
    <w:rsid w:val="00EC4644"/>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EC4644"/>
    <w:rPr>
      <w:rFonts w:ascii="Tahoma" w:cs="Tahoma" w:hAnsi="Tahoma"/>
      <w:sz w:val="16"/>
      <w:szCs w:val="16"/>
    </w:rPr>
  </w:style>
  <w:style w:type="paragraph" w:styleId="Zhlav">
    <w:name w:val="header"/>
    <w:basedOn w:val="Normln"/>
    <w:link w:val="ZhlavChar"/>
    <w:uiPriority w:val="99"/>
    <w:unhideWhenUsed w:val="1"/>
    <w:rsid w:val="00EC4644"/>
    <w:pPr>
      <w:tabs>
        <w:tab w:val="center" w:pos="4536"/>
        <w:tab w:val="right" w:pos="9072"/>
      </w:tabs>
    </w:pPr>
  </w:style>
  <w:style w:type="character" w:styleId="ZhlavChar" w:customStyle="1">
    <w:name w:val="Záhlaví Char"/>
    <w:basedOn w:val="Standardnpsmoodstavce"/>
    <w:link w:val="Zhlav"/>
    <w:uiPriority w:val="99"/>
    <w:rsid w:val="00EC4644"/>
  </w:style>
  <w:style w:type="paragraph" w:styleId="Zpat">
    <w:name w:val="footer"/>
    <w:basedOn w:val="Normln"/>
    <w:link w:val="ZpatChar"/>
    <w:uiPriority w:val="99"/>
    <w:unhideWhenUsed w:val="1"/>
    <w:rsid w:val="00EC4644"/>
    <w:pPr>
      <w:tabs>
        <w:tab w:val="center" w:pos="4536"/>
        <w:tab w:val="right" w:pos="9072"/>
      </w:tabs>
    </w:pPr>
  </w:style>
  <w:style w:type="character" w:styleId="ZpatChar" w:customStyle="1">
    <w:name w:val="Zápatí Char"/>
    <w:basedOn w:val="Standardnpsmoodstavce"/>
    <w:link w:val="Zpat"/>
    <w:uiPriority w:val="99"/>
    <w:rsid w:val="00EC4644"/>
  </w:style>
  <w:style w:type="table" w:styleId="a" w:customStyle="1">
    <w:basedOn w:val="TableNormal2"/>
    <w:tblPr>
      <w:tblStyleRowBandSize w:val="1"/>
      <w:tblStyleColBandSize w:val="1"/>
      <w:tblCellMar>
        <w:left w:w="70.0" w:type="dxa"/>
        <w:right w:w="70.0" w:type="dxa"/>
      </w:tblCellMar>
    </w:tblPr>
  </w:style>
  <w:style w:type="table" w:styleId="a0" w:customStyle="1">
    <w:basedOn w:val="TableNormal2"/>
    <w:tblPr>
      <w:tblStyleRowBandSize w:val="1"/>
      <w:tblStyleColBandSize w:val="1"/>
      <w:tblCellMar>
        <w:left w:w="70.0" w:type="dxa"/>
        <w:right w:w="70.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color w:val="00000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VbxqFrCHYusuLicAGv9XYdQYAg==">AMUW2mXE2haKjqU+iPl3J2si24B/B6LmGyxmxmqtPccCwUNlSzSKG9f8LwBpPvzljSVdUKH5jeYlgVt1pwAEAW+unQhzJDeYgLVDWvucGfK2AQURztFO/vKx6BdWscYJwVXvUC65+02T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2020-02-24T11:21:00Z</dcterms:created>
  <dc:creator>Admin</dc:creator>
</cp:coreProperties>
</file>